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6 vom 25. März 2015</w:t>
      </w:r>
    </w:p>
    <w:p>
      <w:r>
        <w:t>VS Kantonsgericht, 2015-03-25, FR</w:t>
      </w:r>
    </w:p>
    <w:p>
      <w:r>
        <w:rPr>
          <w:b/>
        </w:rPr>
        <w:t xml:space="preserve">Quelle: </w:t>
      </w:r>
      <w:r>
        <w:t>https://mcp.opencaselaw.ch/entscheid/vs_gerichte_S1 14 6</w:t>
      </w:r>
    </w:p>
    <w:p>
      <w:r>
        <w:t>FR: VS_GERICHTE S1 14 6 du 25 mars 2015</w:t>
      </w:r>
    </w:p>
    <w:p>
      <w:r>
        <w:t>IT: VS_GERICHTE S1 14 6 del 25 marzo 2015</w:t>
      </w:r>
    </w:p>
    <w:p>
      <w:pPr>
        <w:pStyle w:val="Heading2"/>
      </w:pPr>
      <w:r>
        <w:t>Regeste</w:t>
      </w:r>
    </w:p>
    <w:p>
      <w:r>
        <w:t>S1 14 6 JUGEMENT DU 25 MARS 2015 Tribunal cantonal du Valais Cour des assurances sociales Composition : Eve-Marie Dayer-Schmid, présidente ; Jean-Bernard Fournier et Jean- Pierre Zufferey, juges ; Pierre-André Moix, greffier en la cause X_________, recourante, représentée par Maître M_________ contre Office cantonal AI du Valais, intimé (traitement dentaire, infirmité congénitale)</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6 janvier 2014, le présent recours à l'encontre de la décision du 15 novembre 2013 a été interjeté dans le délai légal de trente jours prolongé des féries de fin d’année (art. 38 al. 4 let. c et 60 LPGA), devant l'instance compétente (art. 56, 57 et 58</w:t>
      </w:r>
    </w:p>
    <w:p>
      <w:r>
        <w:t>- 6 - LPGA ; art. 81bis al. 1 LPJA). Il répond par ailleurs aux autres conditions formelles de recevabilité (art. 61 let. b LPGA), de sorte que la cour doit entrer en matière. 2.1 Le litige porte sur la prise en charge par l’OAI d’un traitement dentaire nécessité par l’amélogenèse imparfaite dont souffre la recourante et plus particulièrement sur le type de traitement à charge de l’OAI. 2.2 Aux termes de l’article 13 alinéa 1 LAI, les assurés ont droit aux mesures médicales nécessaires au traitement des infirmités congénitales jusqu’à l’âge de 20 ans révolus. L’article 13 alinéa 2 LAI précise que le Conseil fédéral est autorisé à délimiter les mesures prévues à l’alinéa 1 par rapport à celles qui relèvent du traitement de l’affection comme telle. A cet effet, il peut notamment préciser la nature et l’étendue des mesures incombant à l’assurance et régler la naissance et la durée du droit aux prestations. Faisant usage de cette délégation de compétence, le Conseil fédéral a édicté l’ordonnance du 9 décembre 1985 concernant les infirmités congénitales (OIC), laquelle contient, en annexe, une liste des infirmités réputées congénitales au sens de l’article 13 LAI. Le contenu de la liste de ces infirmités congénitales, respectivement les conditions de prise en charge des mesures médicales relatives à de telles infirmités, ont fait l’objet d’une circulaire de l’Office fédéral des assurances sociales (OFAS), savoir la circulaire sur les mesures médicales de réadaptation de l’Al (CMRM). Sont réputées mesures médicales nécessaires au traitement d’une infirmité congénitale, tous les actes dont la science médicale a reconnu qu’ils sont indiqués et qu’ils tendent au but thérapeutique visé d’une manière simple et adéquate (art. 2 al. 3 OIC). Le chiffre 205 de l’annexe à l’OIC prévoit que le traitement est à la charge de l’AI en cas de dysplasies dentaires congénitales, lorsqu’au moins 12 dents de la seconde dentition après éruption sont très fortement atteintes ; en cas d’odontodysplasie (ghost teeth), il suffit qu’au moins deux dents soient atteintes dans un quadrant. L’amelogenesis imperfecta, la dentinogenesis imperfecta et la dysplasie dentaire entrent par exemple aussi dans la catégorie visée sous ce chiffre. Les cas fortement atteints comprennent une dysplasie où la dent s’effrite. Le traitement des caries est exclu ; pour l’odontodysplasie il s’agit exclusivement d’anomalies substantielles (CMRM C 10 ch. 205).</w:t>
      </w:r>
    </w:p>
    <w:p>
      <w:r>
        <w:t>- 7 -</w:t>
      </w:r>
    </w:p>
    <w:p>
      <w:r>
        <w:rPr>
          <w:b/>
        </w:rPr>
        <w:t>E. 3</w:t>
      </w:r>
    </w:p>
    <w:p>
      <w:r>
        <w:t>Dans le cas d'espèce, il n'est pas contesté que X_________ souffre d'une infirmité congénitale, sous la forme d’une amélogenèse imparfaite de type 1A (ch. 205 OIC). Le droit à des mesures médicales de l'AI, nécessaires au traitement de cette infirmité congénitale, n'est également pas remis en cause. En revanche, est litigieux le type de traitement à administrer à la recourante, l’OAI ayant limité sa prise en charge à la somme de 3500 fr. en vertu du droit d’échange. Dans son écriture de recours, la recourante a conclu à la prise en charge du traitement préconisé par le Dr A_________, soit le couronnement de toutes ses dents. Ce traitement avait fait l’objet d’un devis s’élevant à 50 122 fr. 20 en octobre 2011. En cours de procédure, la recourante a réduit ses conclusions en demandant la prise en charge du traitement proposé par le Dr E_________, lequel était moins important que celui du Dr A_________. L’OAI, dans sa duplique du 16 septembre 2014, a accepté de prendre en charge à bien plaire les coûts des soins décrits par le Dr E_________, dont le montant n’a pas été chiffré. Ce faisant, elle a pleinement acquiescé aux nouvelles conclusions de la recourante. En principe, l'acquiescement est inopérant en droit des assurances sociales et le juge doit statuer sur le recours malgré les conclusions de l'intimé (arrêt du Tribunal fédéral des assurances I 145/02 du 18 juin 2002 consid. 1c). Il ressort des avis de la Dresse C_________ du 31 juillet 2014 que cette dernière considère le rapport du Dr E_________ comme très bon et que la solution qu’il propose est simple et proportionnée compte tenu de l’avancement de l’infirmité congénitale et de l’âge de l’assurée. Cet avis a ensuite été corroboré par le SMR. Il apparaît dès lors que le traitement mentionné par le Dr E_________ est bien le plus approprié actuellement, ce que l’OAI a reconnu en acceptant de prendre en charge la solution thérapeutique proposée par le praticien E_________. Il s’ensuit que le recours doit être admis, la décision entreprise annulée et la cause renvoyée à l’OAI afin qu’elle sollicite de la recourante un devis établi par un dentiste pour le traitement préconisé par le Dr E_________ afin de le prendre en charge.</w:t>
      </w:r>
    </w:p>
    <w:p>
      <w:r>
        <w:rPr>
          <w:b/>
        </w:rPr>
        <w:t>E. 4</w:t>
      </w:r>
    </w:p>
    <w:p>
      <w:r>
        <w:t>L’intimée considère que les frais et les dépens ne doivent pas être mis à sa charge en raison de la réduction des conclusions de la recourante en cours de procédure et de l’écoulement du temps.</w:t>
      </w:r>
    </w:p>
    <w:p>
      <w:r>
        <w:t>- 8 - Selon les conclusions de l’expertise du Dr E_________, 26 dents de la recourante doivent être traitées. 18 d’entre elles sont sujettes à la pose de CPR directs vestibulaires (soit les dents 15 à 25 et 34 à 44) et les huit autres doivent subir une méga-abrasion et éventuellement un scellement par bond et cpr flow. Il apparaît dès lors que la solution acceptée par l’OAI dans sa duplique excède largement celle qu’il avait prise comme référence afin de fixer le plafond de 3500 fr. de la décision entreprise, seules huit dents étant alors concernées. Si effectivement le type de traitement proposé par le Dr E_________ est le même que celui retenu par la Dresse C_________, il apparaît que son ampleur est bien plus importante, puisque ce n’est pas huit dents, mais presque toute la denture de l’assuré qui doit être traitée. S’agissant de l’écoulement du temps, l’intimé considère que dès lors qu’on ne sait pas dans quel état étaient les dents de la patiente lors de la décision entreprise, les frais ne doivent pas être mis à sa charge. Ce faisant, l’intimé fait abstraction de son devoir d’instruction au cours de la procédure administrative. Cela est d’autant plus vrai que dans son opposition du 25 octobre 2013, la recourante avait mis en évidence que plusieurs de ses dents s’effritaient fortement, de sorte que l’intimé était conscient du caractère évolutif de la situation. En vertu de son devoir d’instruction d’office au sens de l’article 43 LPGA, il lui appartenait de mettre à jour son dossier concernant la situation médicale de la recourante afin de vérifier si le traitement de huit dents seulement était suffisant au moment de rendre sa décision, cela en tenant compte que des dents non concernées par ce traitement étaient en train de s’effriter selon les indications de l’hygiéniste dentaire de la recourante.</w:t>
      </w:r>
    </w:p>
    <w:p>
      <w:r>
        <w:rPr>
          <w:b/>
        </w:rPr>
        <w:t>E. 5</w:t>
      </w:r>
    </w:p>
    <w:p>
      <w:r>
        <w:t>Au vu de ces considérations, il apparaît que la recourante obtient l’entier de ses conclusions réduites. Il se justifie dès lors de lui accorder des dépens (art. 61 let. g LPGA), lesquels seront supportés par l'intimé (art. 81bis al. 2 et 91 al. 1 et 2 a contrario LPJA). Le mandataire de la recourante a produit in casu un mémoire de recours bien étayé, une réplique et des observations dans un dossier de difficulté moyenne. En conformité des critères posés par la loi et par la jurisprudence, la Cour de céans fixe les dépens pour la présente procédure à 1800 fr. (débours compris ; art. 4 al. 1, 27 al. 1, 29 al. 3 et 40 LTar). Les frais, par 500 fr., sont mis à la charge de l’OAI qui succombe, l’avance du même montant effectuée par la recourante lui étant restituée.</w:t>
      </w:r>
    </w:p>
    <w:p>
      <w:r>
        <w:t>- 9 -</w:t>
      </w:r>
    </w:p>
    <w:p>
      <w:r>
        <w:t>Prononce</w:t>
      </w:r>
    </w:p>
    <w:p>
      <w:r>
        <w:t>1. Le recours est admis et la décision de l’OAI du 15 novembre 2013 est annulée, la recourante ayant droit à la prise en charge du traitement déterminé selon le considérant 3. 2. Les frais, par 500 fr., sont mis à la charge de l’OAI. 3. L’OAI versera à X_________ la somme de 1800 fr. à titre d’indemnité de dépens.</w:t>
      </w:r>
    </w:p>
    <w:p>
      <w:r>
        <w:t>Sion, le 25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